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396号</w:t>
            </w:r>
          </w:p>
          <w:p w14:paraId="2A0CF11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平昌县金虎家居整装馆</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1"/>
                <w:szCs w:val="11"/>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22"/>
                <w:szCs w:val="22"/>
                <w:lang w:val="en-US" w:eastAsia="zh-CN"/>
              </w:rPr>
              <w:t>同州街道金港湾1号楼负2层</w:t>
            </w:r>
          </w:p>
          <w:p w14:paraId="59C65A1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金虎家居</w:t>
            </w:r>
            <w:bookmarkStart w:id="0" w:name="_GoBack"/>
            <w:bookmarkEnd w:id="0"/>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，长10米，高1.2米，厚0.2米；共计</w:t>
            </w:r>
            <w:r>
              <w:rPr>
                <w:rFonts w:hint="eastAsia" w:ascii="黑体" w:hAnsi="黑体" w:eastAsia="黑体" w:cs="黑体"/>
                <w:b/>
                <w:sz w:val="21"/>
                <w:szCs w:val="21"/>
                <w:lang w:val="en-US" w:eastAsia="zh-CN"/>
              </w:rPr>
              <w:t>平面面积约12平方米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二0二四年十一月十一日至二0二五年十一月十日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396号</w:t>
            </w:r>
          </w:p>
          <w:p w14:paraId="558B6E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4"/>
                <w:szCs w:val="24"/>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32"/>
                <w:szCs w:val="32"/>
                <w:lang w:val="en-US" w:eastAsia="zh-CN"/>
              </w:rPr>
              <w:t>平昌县金虎家居整装馆</w:t>
            </w:r>
          </w:p>
          <w:p w14:paraId="0230CA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同州街道金港湾1号楼负2层</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金虎家居</w:t>
            </w:r>
          </w:p>
          <w:p w14:paraId="2C0D825C">
            <w:pPr>
              <w:keepNext w:val="0"/>
              <w:keepLines w:val="0"/>
              <w:pageBreakBefore w:val="0"/>
              <w:widowControl w:val="0"/>
              <w:kinsoku/>
              <w:wordWrap/>
              <w:overflowPunct/>
              <w:topLinePunct w:val="0"/>
              <w:autoSpaceDE/>
              <w:autoSpaceDN/>
              <w:bidi w:val="0"/>
              <w:adjustRightInd/>
              <w:snapToGrid/>
              <w:spacing w:line="460" w:lineRule="exact"/>
              <w:ind w:left="1797" w:hanging="1797" w:hangingChars="400"/>
              <w:jc w:val="both"/>
              <w:textAlignment w:val="auto"/>
              <w:rPr>
                <w:rFonts w:hint="eastAsia" w:ascii="黑体" w:eastAsia="黑体"/>
                <w:b/>
                <w:kern w:val="0"/>
                <w:sz w:val="32"/>
                <w:szCs w:val="32"/>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店招共1个，长10米，高1.2米，厚0.2米；共计平面面积约12平方米；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6"/>
                <w:szCs w:val="36"/>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32"/>
                <w:szCs w:val="32"/>
                <w:lang w:val="en-US" w:eastAsia="zh-CN"/>
              </w:rPr>
              <w:t>二0二四年十一月十一日至二0二五年十一月十日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32"/>
                <w:szCs w:val="32"/>
              </w:rPr>
              <w:t>注</w:t>
            </w:r>
            <w:r>
              <w:rPr>
                <w:rFonts w:hint="eastAsia" w:ascii="黑体" w:hAnsi="黑体" w:eastAsia="黑体" w:cs="黑体"/>
                <w:b/>
                <w:sz w:val="32"/>
                <w:szCs w:val="32"/>
                <w:lang w:eastAsia="zh-CN"/>
              </w:rPr>
              <w:t>：</w:t>
            </w:r>
            <w:r>
              <w:rPr>
                <w:rFonts w:hint="eastAsia" w:ascii="黑体" w:hAnsi="黑体" w:eastAsia="黑体" w:cs="黑体"/>
                <w:b/>
                <w:sz w:val="32"/>
                <w:szCs w:val="32"/>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任何单位和个人不得伪造、涂改、出租、出借、转让城市户外广告设置许可证。</w:t>
            </w:r>
          </w:p>
          <w:p w14:paraId="33012863">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城市户外广告设置者需要延续依法取得的行政许可有效期的，应当在该行政许可有效期满三十日前向做出行政许可决定的行政机关提出申请。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城市户外广告设施必须标明行政主管部门许可证号。</w:t>
            </w:r>
          </w:p>
          <w:p w14:paraId="3B76ACF3">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十一</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879</Characters>
  <Lines>5</Lines>
  <Paragraphs>1</Paragraphs>
  <TotalTime>7</TotalTime>
  <ScaleCrop>false</ScaleCrop>
  <LinksUpToDate>false</LinksUpToDate>
  <CharactersWithSpaces>938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2024-11-08T03:39:00Z</cp:lastPrinted>
  <dcterms:modified xsi:type="dcterms:W3CDTF">2024-11-11T01:42:52Z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BB718E07F3BC42B99D312E2E6BB4C532_13</vt:lpwstr>
  </property>
  <property fmtid="{D5CDD505-2E9C-101B-9397-08002B2CF9AE}" pid="4" name="commondata">
    <vt:lpwstr>eyJoZGlkIjoiN2M1M2MyOTk3NWJlMjdlMmRjOWQ0YzViZTA1Mjc2ODUifQ==</vt:lpwstr>
  </property>
</Properties>
</file>