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82号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四川百坚律师事务所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  <w:t>金宝新区壹號公馆3号商业楼2楼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四川百坚律师事务所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面积、数量：共1个，长10.6米，高1米，厚0.1米，共计平面面积大约10.6平方米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：二0二四年三月二十九至二0二五年三月二十八日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四川百坚律师事务所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金宝新区壹號公馆3号商业楼2楼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四川百坚律师事务所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共1个，长10.6米，高1米，厚0.1米，共计平面面积大约10.6平方米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二0二四年三月二十九日至二0二五年三月二十八日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108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2024-03-29T07:54:45Z</cp:lastPrinted>
  <dcterms:modified xsi:type="dcterms:W3CDTF">2024-03-29T08:32:11Z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C0983045828744EA9FF22AE86E54628C_13</vt:lpwstr>
  </property>
  <property fmtid="{D5CDD505-2E9C-101B-9397-08002B2CF9AE}" pid="4" name="commondata">
    <vt:lpwstr>eyJoZGlkIjoiN2M1M2MyOTk3NWJlMjdlMmRjOWQ0YzViZTA1Mjc2ODUifQ==</vt:lpwstr>
  </property>
</Properties>
</file>