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2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四川省巴中怡和药业连锁有限责任公司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57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2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2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3"/>
                <w:szCs w:val="13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13"/>
                <w:szCs w:val="13"/>
                <w:lang w:val="en-US" w:eastAsia="zh-CN"/>
              </w:rPr>
              <w:t>金宝新区竹园社区七古水街94号1单元1-1号门市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共1个，长4.2米，高1.5米，厚0.5米，平面面积共6.3平方米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二0二三年三月十四日至二0二四年三月十三日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金宝新区竹园社区七古水街94号1单元1-1号门市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共1个，长4.2米，高1.5米，厚0.5米，平面面积共6.3平方米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二0二三年三月十四日至二0二四年三月十三日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937573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677</Words>
  <Characters>707</Characters>
  <Lines>5</Lines>
  <Paragraphs>1</Paragraphs>
  <TotalTime>6</TotalTime>
  <ScaleCrop>false</ScaleCrop>
  <LinksUpToDate>false</LinksUpToDate>
  <CharactersWithSpaces>744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2023-03-14T02:43:17Z</cp:lastPrinted>
  <dcterms:modified xsi:type="dcterms:W3CDTF">2023-03-14T02:46:28Z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C66FD79D188046ECA196A84FE4189D44</vt:lpwstr>
  </property>
  <property fmtid="{D5CDD505-2E9C-101B-9397-08002B2CF9AE}" pid="4" name="commondata">
    <vt:lpwstr>eyJoZGlkIjoiN2M1M2MyOTk3NWJlMjdlMmRjOWQ0YzViZTA1Mjc2ODUifQ==</vt:lpwstr>
  </property>
</Properties>
</file>